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46EBC2EE"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7C2857">
        <w:rPr>
          <w:rFonts w:ascii="AvenirNext LT Pro Regular" w:hAnsi="AvenirNext LT Pro Regular"/>
        </w:rPr>
        <w:t>November</w:t>
      </w:r>
      <w:r w:rsidRPr="00903904">
        <w:rPr>
          <w:rFonts w:ascii="AvenirNext LT Pro Regular" w:hAnsi="AvenirNext LT Pro Regular"/>
        </w:rPr>
        <w:t xml:space="preserve"> 201</w:t>
      </w:r>
      <w:r w:rsidR="00F677A4" w:rsidRPr="00903904">
        <w:rPr>
          <w:rFonts w:ascii="AvenirNext LT Pro Regular" w:hAnsi="AvenirNext LT Pro Regular"/>
        </w:rPr>
        <w:t>7</w:t>
      </w:r>
    </w:p>
    <w:p w14:paraId="4B33E15C" w14:textId="77777777" w:rsidR="001671E9" w:rsidRPr="00B12E51" w:rsidRDefault="001671E9" w:rsidP="001671E9">
      <w:pPr>
        <w:jc w:val="right"/>
        <w:rPr>
          <w:rFonts w:ascii="AvenirNext LT Pro Regular" w:hAnsi="AvenirNext LT Pro Regular"/>
        </w:rPr>
      </w:pPr>
    </w:p>
    <w:p w14:paraId="20597385" w14:textId="77777777" w:rsidR="002E27A9" w:rsidRPr="00B12E51" w:rsidRDefault="002E27A9" w:rsidP="00954314">
      <w:pPr>
        <w:jc w:val="right"/>
        <w:rPr>
          <w:rFonts w:ascii="AvenirNext LT Pro Regular" w:hAnsi="AvenirNext LT Pro Regular" w:cs="Arial"/>
          <w:b/>
        </w:rPr>
      </w:pPr>
    </w:p>
    <w:p w14:paraId="0DBFE662" w14:textId="1DD5B5CE" w:rsidR="00F677A4" w:rsidRPr="00E32CA7" w:rsidRDefault="007C2857" w:rsidP="006F124B">
      <w:pPr>
        <w:rPr>
          <w:rFonts w:ascii="AvenirNext LT Pro Regular" w:hAnsi="AvenirNext LT Pro Regular" w:cs="Arial"/>
          <w:bCs/>
          <w:sz w:val="34"/>
          <w:szCs w:val="34"/>
        </w:rPr>
      </w:pPr>
      <w:r w:rsidRPr="007C2857">
        <w:rPr>
          <w:rFonts w:ascii="AvenirNext LT Pro Regular" w:hAnsi="AvenirNext LT Pro Regular" w:cs="Arial"/>
          <w:b/>
          <w:sz w:val="48"/>
          <w:szCs w:val="48"/>
        </w:rPr>
        <w:t xml:space="preserve">Moritz Grossmann erhält </w:t>
      </w:r>
      <w:proofErr w:type="spellStart"/>
      <w:r w:rsidRPr="007C2857">
        <w:rPr>
          <w:rFonts w:ascii="AvenirNext LT Pro Regular" w:hAnsi="AvenirNext LT Pro Regular" w:cs="Arial"/>
          <w:b/>
          <w:sz w:val="48"/>
          <w:szCs w:val="48"/>
        </w:rPr>
        <w:t>Eve’s</w:t>
      </w:r>
      <w:proofErr w:type="spellEnd"/>
      <w:r w:rsidRPr="007C2857">
        <w:rPr>
          <w:rFonts w:ascii="AvenirNext LT Pro Regular" w:hAnsi="AvenirNext LT Pro Regular" w:cs="Arial"/>
          <w:b/>
          <w:sz w:val="48"/>
          <w:szCs w:val="48"/>
        </w:rPr>
        <w:t xml:space="preserve"> Watch Award</w:t>
      </w:r>
    </w:p>
    <w:p w14:paraId="2AAC5350" w14:textId="77777777" w:rsidR="007C2857" w:rsidRDefault="007C2857" w:rsidP="002E27A9">
      <w:pPr>
        <w:jc w:val="both"/>
        <w:rPr>
          <w:rFonts w:ascii="AvenirNext LT Pro Regular" w:hAnsi="AvenirNext LT Pro Regular" w:cs="Arial"/>
          <w:bCs/>
          <w:sz w:val="34"/>
          <w:szCs w:val="34"/>
        </w:rPr>
      </w:pPr>
    </w:p>
    <w:p w14:paraId="21F0B7B6" w14:textId="365437FA" w:rsidR="00653CF4" w:rsidRDefault="007C2857" w:rsidP="00F677A4">
      <w:pPr>
        <w:jc w:val="both"/>
        <w:rPr>
          <w:rFonts w:ascii="AvenirNext LT Pro Regular" w:hAnsi="AvenirNext LT Pro Regular"/>
        </w:rPr>
      </w:pPr>
      <w:r w:rsidRPr="007C2857">
        <w:rPr>
          <w:rFonts w:ascii="AvenirNext LT Pro Regular" w:hAnsi="AvenirNext LT Pro Regular" w:cs="Arial"/>
          <w:bCs/>
          <w:sz w:val="34"/>
          <w:szCs w:val="34"/>
        </w:rPr>
        <w:t>TEFNUT Twist Classic gewinnt in der Kategorie „Best Innovation 2017“</w:t>
      </w:r>
    </w:p>
    <w:p w14:paraId="57F4558C" w14:textId="77777777" w:rsidR="007C2857" w:rsidRDefault="007C2857" w:rsidP="00880069">
      <w:pPr>
        <w:jc w:val="both"/>
        <w:rPr>
          <w:rFonts w:ascii="AvenirNext LT Pro Regular" w:hAnsi="AvenirNext LT Pro Regular"/>
        </w:rPr>
      </w:pPr>
    </w:p>
    <w:p w14:paraId="03157353" w14:textId="77777777" w:rsidR="007C2857" w:rsidRPr="007C2857" w:rsidRDefault="007C2857" w:rsidP="007C2857">
      <w:pPr>
        <w:jc w:val="both"/>
        <w:rPr>
          <w:rFonts w:ascii="AvenirNext LT Pro Regular" w:hAnsi="AvenirNext LT Pro Regular"/>
        </w:rPr>
      </w:pPr>
      <w:r w:rsidRPr="007C2857">
        <w:rPr>
          <w:rFonts w:ascii="AvenirNext LT Pro Regular" w:hAnsi="AvenirNext LT Pro Regular"/>
        </w:rPr>
        <w:t xml:space="preserve">London: Am 2. November 2017 wurden im </w:t>
      </w:r>
      <w:proofErr w:type="spellStart"/>
      <w:r w:rsidRPr="007C2857">
        <w:rPr>
          <w:rFonts w:ascii="AvenirNext LT Pro Regular" w:hAnsi="AvenirNext LT Pro Regular"/>
        </w:rPr>
        <w:t>Morton’s</w:t>
      </w:r>
      <w:proofErr w:type="spellEnd"/>
      <w:r w:rsidRPr="007C2857">
        <w:rPr>
          <w:rFonts w:ascii="AvenirNext LT Pro Regular" w:hAnsi="AvenirNext LT Pro Regular"/>
        </w:rPr>
        <w:t xml:space="preserve"> Club die diesjährigen </w:t>
      </w:r>
      <w:proofErr w:type="spellStart"/>
      <w:r w:rsidRPr="007C2857">
        <w:rPr>
          <w:rFonts w:ascii="AvenirNext LT Pro Regular" w:hAnsi="AvenirNext LT Pro Regular"/>
        </w:rPr>
        <w:t>Eve’s</w:t>
      </w:r>
      <w:proofErr w:type="spellEnd"/>
      <w:r w:rsidRPr="007C2857">
        <w:rPr>
          <w:rFonts w:ascii="AvenirNext LT Pro Regular" w:hAnsi="AvenirNext LT Pro Regular"/>
        </w:rPr>
        <w:t xml:space="preserve"> Watch Award Gewinner gefeiert. </w:t>
      </w:r>
      <w:proofErr w:type="spellStart"/>
      <w:r w:rsidRPr="007C2857">
        <w:rPr>
          <w:rFonts w:ascii="AvenirNext LT Pro Regular" w:hAnsi="AvenirNext LT Pro Regular"/>
        </w:rPr>
        <w:t>Eve’s</w:t>
      </w:r>
      <w:proofErr w:type="spellEnd"/>
      <w:r w:rsidRPr="007C2857">
        <w:rPr>
          <w:rFonts w:ascii="AvenirNext LT Pro Regular" w:hAnsi="AvenirNext LT Pro Regular"/>
        </w:rPr>
        <w:t xml:space="preserve"> Watch, das einzige Uhren-Magazin nur für Frauen, honorierte bereits zum zweiten Mal herausragendes Design, Engagement und Pionierleistungen in der Welt der Uhrmacherei. Eine Szene die immer weiblicher wird wie die wachsende Zahl von Uhrenkäuferinnen und -</w:t>
      </w:r>
      <w:proofErr w:type="spellStart"/>
      <w:r w:rsidRPr="007C2857">
        <w:rPr>
          <w:rFonts w:ascii="AvenirNext LT Pro Regular" w:hAnsi="AvenirNext LT Pro Regular"/>
        </w:rPr>
        <w:t>sammlerinnen</w:t>
      </w:r>
      <w:proofErr w:type="spellEnd"/>
      <w:r w:rsidRPr="007C2857">
        <w:rPr>
          <w:rFonts w:ascii="AvenirNext LT Pro Regular" w:hAnsi="AvenirNext LT Pro Regular"/>
        </w:rPr>
        <w:t xml:space="preserve"> sowie viele charismatische und talentierte Frauen in der Branche beweisen. Über 50 Uhren renommierter Manufakturen wurden in insgesamt 12 Kategorien, darunter „Best Design“, „Best High </w:t>
      </w:r>
      <w:proofErr w:type="spellStart"/>
      <w:r w:rsidRPr="007C2857">
        <w:rPr>
          <w:rFonts w:ascii="AvenirNext LT Pro Regular" w:hAnsi="AvenirNext LT Pro Regular"/>
        </w:rPr>
        <w:t>Jewellery</w:t>
      </w:r>
      <w:proofErr w:type="spellEnd"/>
      <w:r w:rsidRPr="007C2857">
        <w:rPr>
          <w:rFonts w:ascii="AvenirNext LT Pro Regular" w:hAnsi="AvenirNext LT Pro Regular"/>
        </w:rPr>
        <w:t xml:space="preserve">“, „Best Newcomer“ und dem Publikums Award „Public </w:t>
      </w:r>
      <w:proofErr w:type="spellStart"/>
      <w:r w:rsidRPr="007C2857">
        <w:rPr>
          <w:rFonts w:ascii="AvenirNext LT Pro Regular" w:hAnsi="AvenirNext LT Pro Regular"/>
        </w:rPr>
        <w:t>Vote</w:t>
      </w:r>
      <w:proofErr w:type="spellEnd"/>
      <w:r w:rsidRPr="007C2857">
        <w:rPr>
          <w:rFonts w:ascii="AvenirNext LT Pro Regular" w:hAnsi="AvenirNext LT Pro Regular"/>
        </w:rPr>
        <w:t xml:space="preserve">“ bewertet. </w:t>
      </w:r>
    </w:p>
    <w:p w14:paraId="68F5E861" w14:textId="77777777" w:rsidR="007C2857" w:rsidRPr="007C2857" w:rsidRDefault="007C2857" w:rsidP="007C2857">
      <w:pPr>
        <w:jc w:val="both"/>
        <w:rPr>
          <w:rFonts w:ascii="AvenirNext LT Pro Regular" w:hAnsi="AvenirNext LT Pro Regular"/>
        </w:rPr>
      </w:pPr>
    </w:p>
    <w:p w14:paraId="3CE0B80B" w14:textId="77777777" w:rsidR="007C2857" w:rsidRPr="007C2857" w:rsidRDefault="007C2857" w:rsidP="007C2857">
      <w:pPr>
        <w:jc w:val="both"/>
        <w:rPr>
          <w:rFonts w:ascii="AvenirNext LT Pro Regular" w:hAnsi="AvenirNext LT Pro Regular"/>
        </w:rPr>
      </w:pPr>
      <w:r w:rsidRPr="007C2857">
        <w:rPr>
          <w:rFonts w:ascii="AvenirNext LT Pro Regular" w:hAnsi="AvenirNext LT Pro Regular"/>
        </w:rPr>
        <w:t xml:space="preserve">Moritz Grossmann errang den </w:t>
      </w:r>
      <w:proofErr w:type="spellStart"/>
      <w:r w:rsidRPr="007C2857">
        <w:rPr>
          <w:rFonts w:ascii="AvenirNext LT Pro Regular" w:hAnsi="AvenirNext LT Pro Regular"/>
        </w:rPr>
        <w:t>Eve’s</w:t>
      </w:r>
      <w:proofErr w:type="spellEnd"/>
      <w:r w:rsidRPr="007C2857">
        <w:rPr>
          <w:rFonts w:ascii="AvenirNext LT Pro Regular" w:hAnsi="AvenirNext LT Pro Regular"/>
        </w:rPr>
        <w:t xml:space="preserve"> Watch Award in der Kategorie „Best Innovation“, für die außerdem Chanel, </w:t>
      </w:r>
      <w:proofErr w:type="spellStart"/>
      <w:r w:rsidRPr="007C2857">
        <w:rPr>
          <w:rFonts w:ascii="AvenirNext LT Pro Regular" w:hAnsi="AvenirNext LT Pro Regular"/>
        </w:rPr>
        <w:t>Fabergé</w:t>
      </w:r>
      <w:proofErr w:type="spellEnd"/>
      <w:r w:rsidRPr="007C2857">
        <w:rPr>
          <w:rFonts w:ascii="AvenirNext LT Pro Regular" w:hAnsi="AvenirNext LT Pro Regular"/>
        </w:rPr>
        <w:t xml:space="preserve">, </w:t>
      </w:r>
      <w:proofErr w:type="spellStart"/>
      <w:r w:rsidRPr="007C2857">
        <w:rPr>
          <w:rFonts w:ascii="AvenirNext LT Pro Regular" w:hAnsi="AvenirNext LT Pro Regular"/>
        </w:rPr>
        <w:t>Hermès</w:t>
      </w:r>
      <w:proofErr w:type="spellEnd"/>
      <w:r w:rsidRPr="007C2857">
        <w:rPr>
          <w:rFonts w:ascii="AvenirNext LT Pro Regular" w:hAnsi="AvenirNext LT Pro Regular"/>
        </w:rPr>
        <w:t xml:space="preserve">, Richard Mille und </w:t>
      </w:r>
      <w:proofErr w:type="spellStart"/>
      <w:r w:rsidRPr="007C2857">
        <w:rPr>
          <w:rFonts w:ascii="AvenirNext LT Pro Regular" w:hAnsi="AvenirNext LT Pro Regular"/>
        </w:rPr>
        <w:t>Ressence</w:t>
      </w:r>
      <w:proofErr w:type="spellEnd"/>
      <w:r w:rsidRPr="007C2857">
        <w:rPr>
          <w:rFonts w:ascii="AvenirNext LT Pro Regular" w:hAnsi="AvenirNext LT Pro Regular"/>
        </w:rPr>
        <w:t xml:space="preserve"> nominiert waren. Die Jury zeigte sich begeistert von dem neuen Armbandaufzug der TEFNUT Twist Classic. Der originelle Mechanismus ermöglicht das Aufziehen der Uhr mit einigen wenigen Drehungen der Armbandbefestigung bei „6“ Uhr – sozusagen im Handumdrehen. Die </w:t>
      </w:r>
      <w:proofErr w:type="spellStart"/>
      <w:r w:rsidRPr="007C2857">
        <w:rPr>
          <w:rFonts w:ascii="AvenirNext LT Pro Regular" w:hAnsi="AvenirNext LT Pro Regular"/>
        </w:rPr>
        <w:t>Grossmann’schen</w:t>
      </w:r>
      <w:proofErr w:type="spellEnd"/>
      <w:r w:rsidRPr="007C2857">
        <w:rPr>
          <w:rFonts w:ascii="AvenirNext LT Pro Regular" w:hAnsi="AvenirNext LT Pro Regular"/>
        </w:rPr>
        <w:t xml:space="preserve"> Uhrmacher haben diese gerade für kleinere Uhren höchst komfortable Lösung ausgetüftelt, die zudem auch mit Handschuhen oder frisch lackierten Fingernägeln angewendet werden kann. Moritz Grossmann CEO Christine Hutter freut sich: „Unsere Philosophie der puren Uhrmacherkunst seit 1854 hat die Gegenwart erobert und jetzt auch die Frauen“.</w:t>
      </w:r>
    </w:p>
    <w:p w14:paraId="14015092" w14:textId="77777777" w:rsidR="007C2857" w:rsidRPr="007C2857" w:rsidRDefault="007C2857" w:rsidP="007C2857">
      <w:pPr>
        <w:jc w:val="both"/>
        <w:rPr>
          <w:rFonts w:ascii="AvenirNext LT Pro Regular" w:hAnsi="AvenirNext LT Pro Regular"/>
        </w:rPr>
      </w:pPr>
    </w:p>
    <w:p w14:paraId="117CAAF6" w14:textId="77777777" w:rsidR="007C2857" w:rsidRPr="007C2857" w:rsidRDefault="007C2857" w:rsidP="007C2857">
      <w:pPr>
        <w:jc w:val="both"/>
        <w:rPr>
          <w:rFonts w:ascii="AvenirNext LT Pro Regular" w:hAnsi="AvenirNext LT Pro Regular"/>
          <w:lang w:val="en-US"/>
        </w:rPr>
      </w:pPr>
      <w:proofErr w:type="spellStart"/>
      <w:r w:rsidRPr="007C2857">
        <w:rPr>
          <w:rFonts w:ascii="AvenirNext LT Pro Regular" w:hAnsi="AvenirNext LT Pro Regular"/>
          <w:lang w:val="en-US"/>
        </w:rPr>
        <w:t>Aus</w:t>
      </w:r>
      <w:proofErr w:type="spellEnd"/>
      <w:r w:rsidRPr="007C2857">
        <w:rPr>
          <w:rFonts w:ascii="AvenirNext LT Pro Regular" w:hAnsi="AvenirNext LT Pro Regular"/>
          <w:lang w:val="en-US"/>
        </w:rPr>
        <w:t xml:space="preserve"> der </w:t>
      </w:r>
      <w:proofErr w:type="spellStart"/>
      <w:r w:rsidRPr="007C2857">
        <w:rPr>
          <w:rFonts w:ascii="AvenirNext LT Pro Regular" w:hAnsi="AvenirNext LT Pro Regular"/>
          <w:lang w:val="en-US"/>
        </w:rPr>
        <w:t>Bewertung</w:t>
      </w:r>
      <w:proofErr w:type="spellEnd"/>
      <w:r w:rsidRPr="007C2857">
        <w:rPr>
          <w:rFonts w:ascii="AvenirNext LT Pro Regular" w:hAnsi="AvenirNext LT Pro Regular"/>
          <w:lang w:val="en-US"/>
        </w:rPr>
        <w:t xml:space="preserve"> der Jury: “The Tefnut Twist is a proper watch, beautifully executed movement and innovative take on a traditional manually wound watch. Timeless and well designed! ... Genuinely new ideas in the world of watches are rare. However, this year Moritz Grossmann wowed </w:t>
      </w:r>
      <w:proofErr w:type="spellStart"/>
      <w:r w:rsidRPr="007C2857">
        <w:rPr>
          <w:rFonts w:ascii="AvenirNext LT Pro Regular" w:hAnsi="AvenirNext LT Pro Regular"/>
          <w:lang w:val="en-US"/>
        </w:rPr>
        <w:t>Baselworld</w:t>
      </w:r>
      <w:proofErr w:type="spellEnd"/>
      <w:r w:rsidRPr="007C2857">
        <w:rPr>
          <w:rFonts w:ascii="AvenirNext LT Pro Regular" w:hAnsi="AvenirNext LT Pro Regular"/>
          <w:lang w:val="en-US"/>
        </w:rPr>
        <w:t xml:space="preserve">, and indeed us, with something really innovative – a watch that is wound by the strap via a cylindrical lug attached to its lower half, which goes into the case and winds the mainspring (though one of our esteemed judging panel has seen watches wound in a similar </w:t>
      </w:r>
      <w:r w:rsidRPr="007C2857">
        <w:rPr>
          <w:rFonts w:ascii="AvenirNext LT Pro Regular" w:hAnsi="AvenirNext LT Pro Regular"/>
          <w:lang w:val="en-US"/>
        </w:rPr>
        <w:lastRenderedPageBreak/>
        <w:t>manner from the 19th century). ... It’s an innovation that has a sense of fun but still serves a practical purpose and captured our panel’s imagination – we just had to award it the trophy.“</w:t>
      </w:r>
    </w:p>
    <w:p w14:paraId="76B76280" w14:textId="77777777" w:rsidR="007C2857" w:rsidRPr="007C2857" w:rsidRDefault="007C2857" w:rsidP="007C2857">
      <w:pPr>
        <w:jc w:val="both"/>
        <w:rPr>
          <w:rFonts w:ascii="AvenirNext LT Pro Regular" w:hAnsi="AvenirNext LT Pro Regular"/>
          <w:lang w:val="en-US"/>
        </w:rPr>
      </w:pPr>
    </w:p>
    <w:p w14:paraId="208C0CE4" w14:textId="744ABF1C" w:rsidR="00880069" w:rsidRDefault="007C2857" w:rsidP="007C2857">
      <w:pPr>
        <w:jc w:val="both"/>
        <w:rPr>
          <w:rFonts w:ascii="AvenirNext LT Pro Regular" w:hAnsi="AvenirNext LT Pro Regular"/>
        </w:rPr>
      </w:pPr>
      <w:r w:rsidRPr="007C2857">
        <w:rPr>
          <w:rFonts w:ascii="AvenirNext LT Pro Regular" w:hAnsi="AvenirNext LT Pro Regular"/>
        </w:rPr>
        <w:t xml:space="preserve">Die </w:t>
      </w:r>
      <w:proofErr w:type="spellStart"/>
      <w:r w:rsidRPr="007C2857">
        <w:rPr>
          <w:rFonts w:ascii="AvenirNext LT Pro Regular" w:hAnsi="AvenirNext LT Pro Regular"/>
        </w:rPr>
        <w:t>Eve’s</w:t>
      </w:r>
      <w:proofErr w:type="spellEnd"/>
      <w:r w:rsidRPr="007C2857">
        <w:rPr>
          <w:rFonts w:ascii="AvenirNext LT Pro Regular" w:hAnsi="AvenirNext LT Pro Regular"/>
        </w:rPr>
        <w:t xml:space="preserve"> Watch Awards 2017 wurden mit Unterstützung von </w:t>
      </w:r>
      <w:proofErr w:type="spellStart"/>
      <w:r w:rsidRPr="007C2857">
        <w:rPr>
          <w:rFonts w:ascii="AvenirNext LT Pro Regular" w:hAnsi="AvenirNext LT Pro Regular"/>
        </w:rPr>
        <w:t>Urb-it</w:t>
      </w:r>
      <w:proofErr w:type="spellEnd"/>
      <w:r w:rsidRPr="007C2857">
        <w:rPr>
          <w:rFonts w:ascii="AvenirNext LT Pro Regular" w:hAnsi="AvenirNext LT Pro Regular"/>
        </w:rPr>
        <w:t>, einer on-</w:t>
      </w:r>
      <w:proofErr w:type="spellStart"/>
      <w:r w:rsidRPr="007C2857">
        <w:rPr>
          <w:rFonts w:ascii="AvenirNext LT Pro Regular" w:hAnsi="AvenirNext LT Pro Regular"/>
        </w:rPr>
        <w:t>demand</w:t>
      </w:r>
      <w:proofErr w:type="spellEnd"/>
      <w:r w:rsidRPr="007C2857">
        <w:rPr>
          <w:rFonts w:ascii="AvenirNext LT Pro Regular" w:hAnsi="AvenirNext LT Pro Regular"/>
        </w:rPr>
        <w:t xml:space="preserve"> </w:t>
      </w:r>
      <w:proofErr w:type="spellStart"/>
      <w:r w:rsidRPr="007C2857">
        <w:rPr>
          <w:rFonts w:ascii="AvenirNext LT Pro Regular" w:hAnsi="AvenirNext LT Pro Regular"/>
        </w:rPr>
        <w:t>lifestyle</w:t>
      </w:r>
      <w:proofErr w:type="spellEnd"/>
      <w:r w:rsidRPr="007C2857">
        <w:rPr>
          <w:rFonts w:ascii="AvenirNext LT Pro Regular" w:hAnsi="AvenirNext LT Pro Regular"/>
        </w:rPr>
        <w:t xml:space="preserve"> </w:t>
      </w:r>
      <w:proofErr w:type="spellStart"/>
      <w:r w:rsidRPr="007C2857">
        <w:rPr>
          <w:rFonts w:ascii="AvenirNext LT Pro Regular" w:hAnsi="AvenirNext LT Pro Regular"/>
        </w:rPr>
        <w:t>shopping</w:t>
      </w:r>
      <w:proofErr w:type="spellEnd"/>
      <w:r w:rsidRPr="007C2857">
        <w:rPr>
          <w:rFonts w:ascii="AvenirNext LT Pro Regular" w:hAnsi="AvenirNext LT Pro Regular"/>
        </w:rPr>
        <w:t xml:space="preserve"> </w:t>
      </w:r>
      <w:proofErr w:type="spellStart"/>
      <w:r w:rsidRPr="007C2857">
        <w:rPr>
          <w:rFonts w:ascii="AvenirNext LT Pro Regular" w:hAnsi="AvenirNext LT Pro Regular"/>
        </w:rPr>
        <w:t>app</w:t>
      </w:r>
      <w:proofErr w:type="spellEnd"/>
      <w:r w:rsidRPr="007C2857">
        <w:rPr>
          <w:rFonts w:ascii="AvenirNext LT Pro Regular" w:hAnsi="AvenirNext LT Pro Regular"/>
        </w:rPr>
        <w:t xml:space="preserve"> veranstaltet. Die größtenteils von Frauen besetzte Jury aus Journalisten, Designern, </w:t>
      </w:r>
      <w:proofErr w:type="spellStart"/>
      <w:r w:rsidRPr="007C2857">
        <w:rPr>
          <w:rFonts w:ascii="AvenirNext LT Pro Regular" w:hAnsi="AvenirNext LT Pro Regular"/>
        </w:rPr>
        <w:t>Influencern</w:t>
      </w:r>
      <w:proofErr w:type="spellEnd"/>
      <w:r w:rsidRPr="007C2857">
        <w:rPr>
          <w:rFonts w:ascii="AvenirNext LT Pro Regular" w:hAnsi="AvenirNext LT Pro Regular"/>
        </w:rPr>
        <w:t xml:space="preserve">, Einkäufern, Uhrmachern und -sammlern kennt und repräsentiert die einzigartige und weibliche Seite der </w:t>
      </w:r>
      <w:proofErr w:type="spellStart"/>
      <w:r w:rsidRPr="007C2857">
        <w:rPr>
          <w:rFonts w:ascii="AvenirNext LT Pro Regular" w:hAnsi="AvenirNext LT Pro Regular"/>
        </w:rPr>
        <w:t>Horlogerie</w:t>
      </w:r>
      <w:proofErr w:type="spellEnd"/>
      <w:r w:rsidRPr="007C2857">
        <w:rPr>
          <w:rFonts w:ascii="AvenirNext LT Pro Regular" w:hAnsi="AvenirNext LT Pro Regular"/>
        </w:rPr>
        <w:t>.</w:t>
      </w:r>
    </w:p>
    <w:p w14:paraId="3990677E" w14:textId="77777777" w:rsidR="00880069" w:rsidRDefault="00880069" w:rsidP="00B12E51">
      <w:pPr>
        <w:ind w:left="1985" w:hanging="1985"/>
        <w:jc w:val="both"/>
        <w:rPr>
          <w:rFonts w:ascii="AvenirNext LT Pro Regular" w:hAnsi="AvenirNext LT Pro Regular"/>
          <w:b/>
          <w:sz w:val="20"/>
          <w:szCs w:val="20"/>
        </w:rPr>
      </w:pPr>
    </w:p>
    <w:p w14:paraId="37D73D01" w14:textId="77777777" w:rsidR="00880069" w:rsidRPr="00D5589F" w:rsidRDefault="00880069" w:rsidP="00B12E51">
      <w:pPr>
        <w:ind w:left="1985" w:hanging="1985"/>
        <w:jc w:val="both"/>
        <w:rPr>
          <w:rFonts w:ascii="AvenirNext LT Pro Regular" w:hAnsi="AvenirNext LT Pro Regular"/>
          <w:b/>
        </w:rPr>
      </w:pPr>
    </w:p>
    <w:p w14:paraId="2CCF31B9" w14:textId="1AFABFCF" w:rsidR="00D5589F" w:rsidRPr="00D5589F" w:rsidRDefault="004828BF" w:rsidP="00D5589F">
      <w:pPr>
        <w:ind w:left="1985" w:hanging="1985"/>
        <w:jc w:val="both"/>
        <w:rPr>
          <w:rFonts w:ascii="AvenirNext LT Pro Regular" w:hAnsi="AvenirNext LT Pro Regular"/>
        </w:rPr>
      </w:pPr>
      <w:hyperlink r:id="rId7" w:history="1">
        <w:r w:rsidR="00D5589F" w:rsidRPr="00D5589F">
          <w:rPr>
            <w:rStyle w:val="Hyperlink"/>
            <w:rFonts w:ascii="AvenirNext LT Pro Regular" w:hAnsi="AvenirNext LT Pro Regular"/>
          </w:rPr>
          <w:t>Zur TEFNUT Twist</w:t>
        </w:r>
      </w:hyperlink>
    </w:p>
    <w:p w14:paraId="0F2C9448" w14:textId="484347D1" w:rsidR="00D5589F" w:rsidRPr="00D5589F" w:rsidRDefault="004828BF" w:rsidP="00D5589F">
      <w:pPr>
        <w:ind w:left="1985" w:hanging="1985"/>
        <w:jc w:val="both"/>
        <w:rPr>
          <w:rFonts w:ascii="AvenirNext LT Pro Regular" w:hAnsi="AvenirNext LT Pro Regular"/>
        </w:rPr>
      </w:pPr>
      <w:hyperlink r:id="rId8" w:history="1">
        <w:r w:rsidR="00D5589F" w:rsidRPr="00D5589F">
          <w:rPr>
            <w:rStyle w:val="Hyperlink"/>
            <w:rFonts w:ascii="AvenirNext LT Pro Regular" w:hAnsi="AvenirNext LT Pro Regular"/>
          </w:rPr>
          <w:t xml:space="preserve">Zum </w:t>
        </w:r>
        <w:proofErr w:type="spellStart"/>
        <w:r w:rsidR="00D5589F" w:rsidRPr="00D5589F">
          <w:rPr>
            <w:rStyle w:val="Hyperlink"/>
            <w:rFonts w:ascii="AvenirNext LT Pro Regular" w:hAnsi="AvenirNext LT Pro Regular"/>
          </w:rPr>
          <w:t>Eve’s</w:t>
        </w:r>
        <w:proofErr w:type="spellEnd"/>
        <w:r w:rsidR="00D5589F" w:rsidRPr="00D5589F">
          <w:rPr>
            <w:rStyle w:val="Hyperlink"/>
            <w:rFonts w:ascii="AvenirNext LT Pro Regular" w:hAnsi="AvenirNext LT Pro Regular"/>
          </w:rPr>
          <w:t xml:space="preserve"> Watch Award</w:t>
        </w:r>
      </w:hyperlink>
    </w:p>
    <w:p w14:paraId="36389176" w14:textId="77777777" w:rsidR="00F7720A" w:rsidRPr="00D5589F" w:rsidRDefault="00F7720A" w:rsidP="00B12E51">
      <w:pPr>
        <w:ind w:left="1985" w:hanging="1985"/>
        <w:jc w:val="both"/>
        <w:rPr>
          <w:rFonts w:ascii="AvenirNext LT Pro Regular" w:hAnsi="AvenirNext LT Pro Regular"/>
        </w:rPr>
      </w:pPr>
    </w:p>
    <w:p w14:paraId="3A2FC9B2" w14:textId="77777777" w:rsidR="006F124B" w:rsidRPr="00D5589F" w:rsidRDefault="006F124B" w:rsidP="006F124B">
      <w:pPr>
        <w:jc w:val="both"/>
        <w:rPr>
          <w:rFonts w:ascii="AvenirNext LT Pro Regular" w:hAnsi="AvenirNext LT Pro Regular"/>
          <w:b/>
          <w:i/>
        </w:rPr>
      </w:pPr>
    </w:p>
    <w:p w14:paraId="56597EC4" w14:textId="77777777" w:rsidR="006F124B" w:rsidRPr="001B2D5F" w:rsidRDefault="006F124B" w:rsidP="006F124B">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260FB85"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Moritz Grossmann, geboren 1826 in Dresden, galt als Visionär unter den großen deutschen </w:t>
      </w:r>
      <w:proofErr w:type="spellStart"/>
      <w:r w:rsidRPr="001B2D5F">
        <w:rPr>
          <w:rFonts w:ascii="AvenirNext LT Pro Regular" w:hAnsi="AvenirNext LT Pro Regular"/>
          <w:i/>
          <w:sz w:val="14"/>
          <w:szCs w:val="14"/>
        </w:rPr>
        <w:t>Horologen</w:t>
      </w:r>
      <w:proofErr w:type="spellEnd"/>
      <w:r w:rsidRPr="001B2D5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1D9E00C0" w14:textId="77777777" w:rsidR="006F124B" w:rsidRPr="001B2D5F" w:rsidRDefault="006F124B" w:rsidP="006F124B">
      <w:pPr>
        <w:jc w:val="both"/>
        <w:rPr>
          <w:rFonts w:ascii="AvenirNext LT Pro Regular" w:hAnsi="AvenirNext LT Pro Regular"/>
          <w:bCs/>
          <w:i/>
          <w:sz w:val="14"/>
          <w:szCs w:val="14"/>
        </w:rPr>
      </w:pPr>
      <w:r w:rsidRPr="001B2D5F">
        <w:rPr>
          <w:rFonts w:ascii="AvenirNext LT Pro Regular" w:hAnsi="AvenirNext LT Pro Regular"/>
          <w:bCs/>
          <w:i/>
          <w:sz w:val="14"/>
          <w:szCs w:val="14"/>
        </w:rPr>
        <w:t xml:space="preserve">Der Geist von Moritz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1B2D5F">
        <w:rPr>
          <w:rFonts w:ascii="AvenirNext LT Pro Regular" w:hAnsi="AvenirNext LT Pro Regular"/>
          <w:bCs/>
          <w:i/>
          <w:sz w:val="14"/>
          <w:szCs w:val="14"/>
        </w:rPr>
        <w:t>Glashütter</w:t>
      </w:r>
      <w:proofErr w:type="spellEnd"/>
      <w:r w:rsidRPr="001B2D5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440DD6E1" w14:textId="77777777" w:rsidR="00172E2B" w:rsidRPr="001B2D5F" w:rsidRDefault="00172E2B" w:rsidP="00172E2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w:t>
      </w:r>
      <w:proofErr w:type="spellStart"/>
      <w:r w:rsidRPr="001B2D5F">
        <w:rPr>
          <w:rFonts w:ascii="AvenirNext LT Pro Regular" w:hAnsi="AvenirNext LT Pro Regular"/>
          <w:i/>
          <w:sz w:val="14"/>
          <w:szCs w:val="14"/>
        </w:rPr>
        <w:t>Grossmann’schen</w:t>
      </w:r>
      <w:proofErr w:type="spellEnd"/>
      <w:r w:rsidRPr="001B2D5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w:t>
      </w:r>
      <w:r>
        <w:rPr>
          <w:rFonts w:ascii="AvenirNext LT Pro Regular" w:hAnsi="AvenirNext LT Pro Regular"/>
          <w:i/>
          <w:sz w:val="14"/>
          <w:szCs w:val="14"/>
        </w:rPr>
        <w:t>zelebrieren</w:t>
      </w:r>
      <w:r w:rsidRPr="001B2D5F">
        <w:rPr>
          <w:rFonts w:ascii="AvenirNext LT Pro Regular" w:hAnsi="AvenirNext LT Pro Regular"/>
          <w:i/>
          <w:sz w:val="14"/>
          <w:szCs w:val="14"/>
        </w:rPr>
        <w:t xml:space="preserve"> sie mit ihren Uhren „</w:t>
      </w:r>
      <w:r>
        <w:rPr>
          <w:rFonts w:ascii="AvenirNext LT Pro Regular" w:hAnsi="AvenirNext LT Pro Regular"/>
          <w:i/>
          <w:sz w:val="14"/>
          <w:szCs w:val="14"/>
        </w:rPr>
        <w:t>Pure Uhrmacherkunst seit 1854</w:t>
      </w:r>
      <w:r w:rsidRPr="001B2D5F">
        <w:rPr>
          <w:rFonts w:ascii="AvenirNext LT Pro Regular" w:hAnsi="AvenirNext LT Pro Regular"/>
          <w:i/>
          <w:sz w:val="14"/>
          <w:szCs w:val="14"/>
        </w:rPr>
        <w:t xml:space="preserve">“.  </w:t>
      </w:r>
    </w:p>
    <w:p w14:paraId="0861154A" w14:textId="77777777" w:rsidR="006F124B" w:rsidRDefault="006F124B" w:rsidP="006F124B">
      <w:pPr>
        <w:jc w:val="both"/>
        <w:rPr>
          <w:rFonts w:ascii="AvenirNext LT Pro Regular" w:hAnsi="AvenirNext LT Pro Regular"/>
        </w:rPr>
      </w:pPr>
    </w:p>
    <w:p w14:paraId="0F7A6957" w14:textId="77777777" w:rsidR="006F124B" w:rsidRPr="00D84F12" w:rsidRDefault="004828BF" w:rsidP="006F124B">
      <w:pPr>
        <w:jc w:val="both"/>
        <w:rPr>
          <w:rFonts w:ascii="AvenirNext LT Pro Regular" w:hAnsi="AvenirNext LT Pro Regular"/>
          <w:sz w:val="22"/>
          <w:szCs w:val="22"/>
        </w:rPr>
      </w:pPr>
      <w:hyperlink r:id="rId9" w:history="1">
        <w:r w:rsidR="006F124B" w:rsidRPr="00D84F12">
          <w:rPr>
            <w:rStyle w:val="Hyperlink"/>
            <w:rFonts w:ascii="AvenirNext LT Pro Regular" w:hAnsi="AvenirNext LT Pro Regular"/>
            <w:sz w:val="22"/>
            <w:szCs w:val="22"/>
          </w:rPr>
          <w:t>www.grossmann-uhren.com</w:t>
        </w:r>
      </w:hyperlink>
    </w:p>
    <w:p w14:paraId="6627DD95" w14:textId="77777777" w:rsidR="006F124B" w:rsidRDefault="006F124B" w:rsidP="006F124B">
      <w:pPr>
        <w:jc w:val="both"/>
        <w:rPr>
          <w:rFonts w:ascii="AvenirNext LT Pro Regular" w:hAnsi="AvenirNext LT Pro Regular"/>
          <w:b/>
          <w:bCs/>
          <w:sz w:val="20"/>
          <w:szCs w:val="20"/>
        </w:rPr>
      </w:pPr>
    </w:p>
    <w:p w14:paraId="226C9910" w14:textId="77777777" w:rsidR="006F124B" w:rsidRDefault="006F124B" w:rsidP="006F124B">
      <w:pPr>
        <w:jc w:val="both"/>
        <w:rPr>
          <w:rFonts w:ascii="AvenirNext LT Pro Regular" w:hAnsi="AvenirNext LT Pro Regular"/>
          <w:b/>
          <w:bCs/>
          <w:sz w:val="20"/>
          <w:szCs w:val="20"/>
        </w:rPr>
      </w:pPr>
    </w:p>
    <w:p w14:paraId="3B38BEEC" w14:textId="77777777" w:rsidR="006F124B" w:rsidRPr="001B2D5F" w:rsidRDefault="006F124B" w:rsidP="006F124B">
      <w:pPr>
        <w:rPr>
          <w:rFonts w:ascii="AvenirNext LT Pro Regular" w:hAnsi="AvenirNext LT Pro Regular"/>
          <w:b/>
          <w:bCs/>
          <w:sz w:val="20"/>
          <w:szCs w:val="20"/>
        </w:rPr>
      </w:pPr>
      <w:r w:rsidRPr="00C718C9">
        <w:rPr>
          <w:rFonts w:ascii="AvenirNext LT Pro Regular" w:hAnsi="AvenirNext LT Pro Regular"/>
          <w:b/>
          <w:bCs/>
          <w:sz w:val="20"/>
          <w:szCs w:val="20"/>
        </w:rPr>
        <w:t>Für weitere Informationen und hochauflösendes Bildmaterial wenden Sie sich bitte an:</w:t>
      </w:r>
    </w:p>
    <w:p w14:paraId="0B0141D9" w14:textId="77777777" w:rsidR="006F124B" w:rsidRDefault="006F124B" w:rsidP="006F124B">
      <w:pPr>
        <w:jc w:val="both"/>
        <w:rPr>
          <w:rFonts w:ascii="AvenirNext LT Pro Regular" w:hAnsi="AvenirNext LT Pro Regular"/>
          <w:b/>
          <w:sz w:val="20"/>
          <w:szCs w:val="20"/>
        </w:rPr>
      </w:pPr>
    </w:p>
    <w:p w14:paraId="4A47DAB4" w14:textId="77777777" w:rsidR="006F124B" w:rsidRDefault="006F124B" w:rsidP="006F124B">
      <w:pPr>
        <w:jc w:val="both"/>
        <w:rPr>
          <w:rFonts w:ascii="AvenirNext LT Pro Regular" w:hAnsi="AvenirNext LT Pro Regular"/>
          <w:sz w:val="20"/>
          <w:szCs w:val="20"/>
        </w:rPr>
      </w:pPr>
    </w:p>
    <w:p w14:paraId="1452BA48"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76429967" w14:textId="7F3C663C" w:rsidR="008E513C" w:rsidRDefault="008E513C" w:rsidP="00840FE9">
      <w:pPr>
        <w:jc w:val="both"/>
        <w:rPr>
          <w:rFonts w:ascii="AvenirNext LT Pro Regular" w:hAnsi="AvenirNext LT Pro Regular"/>
          <w:sz w:val="20"/>
          <w:szCs w:val="20"/>
        </w:rPr>
      </w:pPr>
      <w:r>
        <w:rPr>
          <w:rFonts w:ascii="AvenirNext LT Pro Regular" w:hAnsi="AvenirNext LT Pro Regular"/>
          <w:sz w:val="20"/>
          <w:szCs w:val="20"/>
        </w:rPr>
        <w:t>Rainer Kern – Communication Manager</w:t>
      </w:r>
    </w:p>
    <w:p w14:paraId="40A9472F"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Uferstr. 1</w:t>
      </w:r>
    </w:p>
    <w:p w14:paraId="391CA859"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01768 Glashütte</w:t>
      </w:r>
    </w:p>
    <w:p w14:paraId="1B7322BE" w14:textId="6D6E72D6"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 xml:space="preserve">Tel: </w:t>
      </w:r>
      <w:r w:rsidR="000D02B4">
        <w:rPr>
          <w:rFonts w:ascii="AvenirNext LT Pro Regular" w:hAnsi="AvenirNext LT Pro Regular"/>
          <w:sz w:val="20"/>
          <w:szCs w:val="20"/>
        </w:rPr>
        <w:t>+</w:t>
      </w:r>
      <w:r>
        <w:rPr>
          <w:rFonts w:ascii="AvenirNext LT Pro Regular" w:hAnsi="AvenirNext LT Pro Regular"/>
          <w:sz w:val="20"/>
          <w:szCs w:val="20"/>
        </w:rPr>
        <w:t>49-35053-320020</w:t>
      </w:r>
    </w:p>
    <w:p w14:paraId="2B08A6A5" w14:textId="2E316DA9" w:rsidR="00840FE9" w:rsidRPr="000D02B4" w:rsidRDefault="00840FE9" w:rsidP="00840FE9">
      <w:pPr>
        <w:jc w:val="both"/>
        <w:rPr>
          <w:rFonts w:ascii="AvenirNext LT Pro Regular" w:hAnsi="AvenirNext LT Pro Regular"/>
          <w:sz w:val="20"/>
          <w:szCs w:val="20"/>
          <w:lang w:val="en-US"/>
        </w:rPr>
      </w:pPr>
      <w:r w:rsidRPr="000D02B4">
        <w:rPr>
          <w:rFonts w:ascii="AvenirNext LT Pro Regular" w:hAnsi="AvenirNext LT Pro Regular"/>
          <w:sz w:val="20"/>
          <w:szCs w:val="20"/>
          <w:lang w:val="en-US"/>
        </w:rPr>
        <w:t xml:space="preserve">Fax: </w:t>
      </w:r>
      <w:r w:rsidR="000D02B4">
        <w:rPr>
          <w:rFonts w:ascii="AvenirNext LT Pro Regular" w:hAnsi="AvenirNext LT Pro Regular"/>
          <w:sz w:val="20"/>
          <w:szCs w:val="20"/>
          <w:lang w:val="en-US"/>
        </w:rPr>
        <w:t>+</w:t>
      </w:r>
      <w:r w:rsidRPr="000D02B4">
        <w:rPr>
          <w:rFonts w:ascii="AvenirNext LT Pro Regular" w:hAnsi="AvenirNext LT Pro Regular"/>
          <w:sz w:val="20"/>
          <w:szCs w:val="20"/>
          <w:lang w:val="en-US"/>
        </w:rPr>
        <w:t>49-35053-320099</w:t>
      </w:r>
    </w:p>
    <w:p w14:paraId="05EDD6B2" w14:textId="77777777" w:rsidR="00840FE9" w:rsidRPr="000D02B4" w:rsidRDefault="004828BF" w:rsidP="00840FE9">
      <w:pPr>
        <w:jc w:val="both"/>
        <w:rPr>
          <w:rStyle w:val="Hyperlink"/>
          <w:rFonts w:ascii="AvenirNext LT Pro Regular" w:hAnsi="AvenirNext LT Pro Regular"/>
          <w:sz w:val="20"/>
          <w:szCs w:val="20"/>
          <w:lang w:val="en-US"/>
        </w:rPr>
      </w:pPr>
      <w:hyperlink r:id="rId10" w:history="1">
        <w:r w:rsidR="00840FE9" w:rsidRPr="000D02B4">
          <w:rPr>
            <w:rStyle w:val="Hyperlink"/>
            <w:rFonts w:ascii="AvenirNext LT Pro Regular" w:hAnsi="AvenirNext LT Pro Regular"/>
            <w:sz w:val="20"/>
            <w:szCs w:val="20"/>
            <w:lang w:val="en-US"/>
          </w:rPr>
          <w:t>rainer.kern@grossmann-uhren.com</w:t>
        </w:r>
      </w:hyperlink>
    </w:p>
    <w:p w14:paraId="2051473D" w14:textId="4B2AF778" w:rsidR="00623FE5" w:rsidRPr="000D02B4" w:rsidRDefault="00623FE5">
      <w:pPr>
        <w:rPr>
          <w:rStyle w:val="Hyperlink"/>
          <w:rFonts w:ascii="AvenirNext LT Pro Regular" w:hAnsi="AvenirNext LT Pro Regular"/>
          <w:sz w:val="20"/>
          <w:szCs w:val="20"/>
          <w:lang w:val="en-US"/>
        </w:rPr>
      </w:pPr>
    </w:p>
    <w:p w14:paraId="233773F9" w14:textId="19CC8076" w:rsidR="00F7720A" w:rsidRDefault="00F7720A" w:rsidP="00F7720A">
      <w:pPr>
        <w:jc w:val="both"/>
        <w:rPr>
          <w:rStyle w:val="Hyperlink"/>
          <w:rFonts w:ascii="AvenirNext LT Pro Regular" w:hAnsi="AvenirNext LT Pro Regular"/>
          <w:color w:val="auto"/>
          <w:sz w:val="20"/>
          <w:szCs w:val="20"/>
          <w:u w:val="none"/>
        </w:rPr>
      </w:pPr>
      <w:r w:rsidRPr="000D02B4">
        <w:rPr>
          <w:rStyle w:val="Hyperlink"/>
          <w:rFonts w:ascii="AvenirNext LT Pro Regular" w:hAnsi="AvenirNext LT Pro Regular"/>
          <w:color w:val="auto"/>
          <w:sz w:val="20"/>
          <w:szCs w:val="20"/>
          <w:u w:val="none"/>
          <w:lang w:val="en-US"/>
        </w:rPr>
        <w:lastRenderedPageBreak/>
        <w:t xml:space="preserve">  </w:t>
      </w:r>
      <w:r w:rsidR="007C2857">
        <w:rPr>
          <w:rFonts w:ascii="AvenirNext LT Pro Regular" w:hAnsi="AvenirNext LT Pro Regular"/>
          <w:noProof/>
          <w:sz w:val="20"/>
          <w:szCs w:val="20"/>
        </w:rPr>
        <w:drawing>
          <wp:inline distT="0" distB="0" distL="0" distR="0" wp14:anchorId="5568F0F4" wp14:editId="75CB7473">
            <wp:extent cx="5670550" cy="293370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Tefnut_Twist_Classic_Beauty_Drehung_Band_Schwarz_Eve.jpg"/>
                    <pic:cNvPicPr/>
                  </pic:nvPicPr>
                  <pic:blipFill rotWithShape="1">
                    <a:blip r:embed="rId11">
                      <a:extLst>
                        <a:ext uri="{28A0092B-C50C-407E-A947-70E740481C1C}">
                          <a14:useLocalDpi xmlns:a14="http://schemas.microsoft.com/office/drawing/2010/main" val="0"/>
                        </a:ext>
                      </a:extLst>
                    </a:blip>
                    <a:srcRect t="10520" b="10452"/>
                    <a:stretch/>
                  </pic:blipFill>
                  <pic:spPr bwMode="auto">
                    <a:xfrm>
                      <a:off x="0" y="0"/>
                      <a:ext cx="5670550" cy="2933700"/>
                    </a:xfrm>
                    <a:prstGeom prst="rect">
                      <a:avLst/>
                    </a:prstGeom>
                    <a:ln>
                      <a:noFill/>
                    </a:ln>
                    <a:extLst>
                      <a:ext uri="{53640926-AAD7-44D8-BBD7-CCE9431645EC}">
                        <a14:shadowObscured xmlns:a14="http://schemas.microsoft.com/office/drawing/2010/main"/>
                      </a:ext>
                    </a:extLst>
                  </pic:spPr>
                </pic:pic>
              </a:graphicData>
            </a:graphic>
          </wp:inline>
        </w:drawing>
      </w:r>
    </w:p>
    <w:p w14:paraId="11F73FB7" w14:textId="77777777" w:rsidR="007C2857" w:rsidRPr="009A576D" w:rsidRDefault="007C2857" w:rsidP="00F7720A">
      <w:pPr>
        <w:jc w:val="both"/>
        <w:rPr>
          <w:rStyle w:val="Hyperlink"/>
          <w:rFonts w:ascii="AvenirNext LT Pro Regular" w:hAnsi="AvenirNext LT Pro Regular"/>
          <w:color w:val="auto"/>
          <w:sz w:val="20"/>
          <w:szCs w:val="20"/>
          <w:u w:val="none"/>
        </w:rPr>
      </w:pPr>
    </w:p>
    <w:p w14:paraId="2168D187" w14:textId="60A4FEC6" w:rsidR="00F7720A" w:rsidRPr="000D02B4" w:rsidRDefault="00F7720A" w:rsidP="00F7720A">
      <w:pPr>
        <w:tabs>
          <w:tab w:val="center" w:pos="2127"/>
          <w:tab w:val="center" w:pos="6379"/>
        </w:tabs>
        <w:jc w:val="both"/>
        <w:rPr>
          <w:rStyle w:val="Hyperlink"/>
          <w:rFonts w:ascii="AvenirNext LT Pro Regular" w:hAnsi="AvenirNext LT Pro Regular"/>
          <w:color w:val="auto"/>
          <w:sz w:val="20"/>
          <w:szCs w:val="20"/>
          <w:u w:val="none"/>
          <w:lang w:val="en-US"/>
        </w:rPr>
      </w:pPr>
      <w:r w:rsidRPr="009A576D">
        <w:rPr>
          <w:rStyle w:val="Hyperlink"/>
          <w:rFonts w:ascii="AvenirNext LT Pro Regular" w:hAnsi="AvenirNext LT Pro Regular"/>
          <w:color w:val="auto"/>
          <w:sz w:val="20"/>
          <w:szCs w:val="20"/>
          <w:u w:val="none"/>
        </w:rPr>
        <w:tab/>
      </w:r>
      <w:r w:rsidR="007C2857" w:rsidRPr="000D02B4">
        <w:rPr>
          <w:rStyle w:val="Hyperlink"/>
          <w:rFonts w:ascii="AvenirNext LT Pro Regular" w:hAnsi="AvenirNext LT Pro Regular"/>
          <w:color w:val="auto"/>
          <w:sz w:val="20"/>
          <w:szCs w:val="20"/>
          <w:u w:val="none"/>
          <w:lang w:val="en-US"/>
        </w:rPr>
        <w:t>TEFNUT Twist Classic</w:t>
      </w:r>
      <w:r w:rsidRPr="000D02B4">
        <w:rPr>
          <w:rStyle w:val="Hyperlink"/>
          <w:rFonts w:ascii="AvenirNext LT Pro Regular" w:hAnsi="AvenirNext LT Pro Regular"/>
          <w:color w:val="auto"/>
          <w:sz w:val="20"/>
          <w:szCs w:val="20"/>
          <w:u w:val="none"/>
          <w:lang w:val="en-US"/>
        </w:rPr>
        <w:tab/>
      </w:r>
    </w:p>
    <w:p w14:paraId="4D3AF91D" w14:textId="77777777" w:rsidR="00F7720A" w:rsidRPr="000D02B4" w:rsidRDefault="00F7720A" w:rsidP="00F7720A">
      <w:pPr>
        <w:jc w:val="both"/>
        <w:rPr>
          <w:rStyle w:val="Hyperlink"/>
          <w:rFonts w:ascii="AvenirNext LT Pro Regular" w:hAnsi="AvenirNext LT Pro Regular"/>
          <w:sz w:val="20"/>
          <w:szCs w:val="20"/>
          <w:lang w:val="en-US"/>
        </w:rPr>
      </w:pPr>
    </w:p>
    <w:p w14:paraId="3E987227" w14:textId="77777777" w:rsidR="007C2857" w:rsidRPr="000D02B4" w:rsidRDefault="007C2857" w:rsidP="00F7720A">
      <w:pPr>
        <w:jc w:val="both"/>
        <w:rPr>
          <w:rFonts w:ascii="AvenirNext LT Pro Regular" w:hAnsi="AvenirNext LT Pro Regular"/>
          <w:noProof/>
          <w:color w:val="0000FF"/>
          <w:sz w:val="20"/>
          <w:szCs w:val="20"/>
          <w:u w:val="single"/>
          <w:lang w:val="en-US"/>
        </w:rPr>
      </w:pPr>
    </w:p>
    <w:p w14:paraId="726F0002" w14:textId="77777777" w:rsidR="00BC3259" w:rsidRPr="000D02B4" w:rsidRDefault="00BC3259" w:rsidP="00F7720A">
      <w:pPr>
        <w:jc w:val="both"/>
        <w:rPr>
          <w:rFonts w:ascii="AvenirNext LT Pro Regular" w:hAnsi="AvenirNext LT Pro Regular"/>
          <w:noProof/>
          <w:color w:val="0000FF"/>
          <w:sz w:val="20"/>
          <w:szCs w:val="20"/>
          <w:u w:val="single"/>
          <w:lang w:val="en-US"/>
        </w:rPr>
      </w:pPr>
    </w:p>
    <w:p w14:paraId="3B87F978" w14:textId="6A7A572B" w:rsidR="00BC3259" w:rsidRPr="00BC3259" w:rsidRDefault="007C2857" w:rsidP="00F7720A">
      <w:pPr>
        <w:jc w:val="both"/>
        <w:rPr>
          <w:rStyle w:val="Hyperlink"/>
          <w:rFonts w:ascii="AvenirNext LT Pro Regular" w:hAnsi="AvenirNext LT Pro Regular"/>
          <w:sz w:val="20"/>
          <w:szCs w:val="20"/>
          <w:u w:val="none"/>
          <w:lang w:val="en-US"/>
        </w:rPr>
      </w:pPr>
      <w:r w:rsidRPr="00BC3259">
        <w:rPr>
          <w:rFonts w:ascii="AvenirNext LT Pro Regular" w:hAnsi="AvenirNext LT Pro Regular"/>
          <w:noProof/>
          <w:color w:val="0000FF"/>
          <w:sz w:val="20"/>
          <w:szCs w:val="20"/>
        </w:rPr>
        <w:drawing>
          <wp:inline distT="0" distB="0" distL="0" distR="0" wp14:anchorId="6564AB40" wp14:editId="5B290DE8">
            <wp:extent cx="2668558" cy="36000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96.JPG"/>
                    <pic:cNvPicPr/>
                  </pic:nvPicPr>
                  <pic:blipFill rotWithShape="1">
                    <a:blip r:embed="rId12">
                      <a:extLst>
                        <a:ext uri="{28A0092B-C50C-407E-A947-70E740481C1C}">
                          <a14:useLocalDpi xmlns:a14="http://schemas.microsoft.com/office/drawing/2010/main" val="0"/>
                        </a:ext>
                      </a:extLst>
                    </a:blip>
                    <a:srcRect l="3696" r="40706"/>
                    <a:stretch/>
                  </pic:blipFill>
                  <pic:spPr bwMode="auto">
                    <a:xfrm>
                      <a:off x="0" y="0"/>
                      <a:ext cx="2668558" cy="3600000"/>
                    </a:xfrm>
                    <a:prstGeom prst="rect">
                      <a:avLst/>
                    </a:prstGeom>
                    <a:ln>
                      <a:noFill/>
                    </a:ln>
                    <a:extLst>
                      <a:ext uri="{53640926-AAD7-44D8-BBD7-CCE9431645EC}">
                        <a14:shadowObscured xmlns:a14="http://schemas.microsoft.com/office/drawing/2010/main"/>
                      </a:ext>
                    </a:extLst>
                  </pic:spPr>
                </pic:pic>
              </a:graphicData>
            </a:graphic>
          </wp:inline>
        </w:drawing>
      </w:r>
      <w:r w:rsidRPr="00BC3259">
        <w:rPr>
          <w:rStyle w:val="Hyperlink"/>
          <w:rFonts w:ascii="AvenirNext LT Pro Regular" w:hAnsi="AvenirNext LT Pro Regular"/>
          <w:sz w:val="20"/>
          <w:szCs w:val="20"/>
          <w:u w:val="none"/>
          <w:lang w:val="en-US"/>
        </w:rPr>
        <w:t xml:space="preserve">                       </w:t>
      </w:r>
      <w:r w:rsidRPr="00BC3259">
        <w:rPr>
          <w:rFonts w:ascii="AvenirNext LT Pro Regular" w:hAnsi="AvenirNext LT Pro Regular"/>
          <w:noProof/>
          <w:color w:val="0000FF"/>
          <w:sz w:val="20"/>
          <w:szCs w:val="20"/>
        </w:rPr>
        <w:drawing>
          <wp:inline distT="0" distB="0" distL="0" distR="0" wp14:anchorId="42A31376" wp14:editId="5223E127">
            <wp:extent cx="2104720" cy="35623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G_Tefnut_Twist_Classic_WG_FR_low.jpg"/>
                    <pic:cNvPicPr/>
                  </pic:nvPicPr>
                  <pic:blipFill rotWithShape="1">
                    <a:blip r:embed="rId13">
                      <a:extLst>
                        <a:ext uri="{28A0092B-C50C-407E-A947-70E740481C1C}">
                          <a14:useLocalDpi xmlns:a14="http://schemas.microsoft.com/office/drawing/2010/main" val="0"/>
                        </a:ext>
                      </a:extLst>
                    </a:blip>
                    <a:srcRect l="18712" t="8380" r="12352" b="9117"/>
                    <a:stretch/>
                  </pic:blipFill>
                  <pic:spPr bwMode="auto">
                    <a:xfrm>
                      <a:off x="0" y="0"/>
                      <a:ext cx="2105763" cy="3564116"/>
                    </a:xfrm>
                    <a:prstGeom prst="rect">
                      <a:avLst/>
                    </a:prstGeom>
                    <a:ln>
                      <a:noFill/>
                    </a:ln>
                    <a:extLst>
                      <a:ext uri="{53640926-AAD7-44D8-BBD7-CCE9431645EC}">
                        <a14:shadowObscured xmlns:a14="http://schemas.microsoft.com/office/drawing/2010/main"/>
                      </a:ext>
                    </a:extLst>
                  </pic:spPr>
                </pic:pic>
              </a:graphicData>
            </a:graphic>
          </wp:inline>
        </w:drawing>
      </w:r>
    </w:p>
    <w:p w14:paraId="2F5CB701" w14:textId="77777777" w:rsidR="00F7720A" w:rsidRPr="007C2857" w:rsidRDefault="00F7720A" w:rsidP="00F7720A">
      <w:pPr>
        <w:rPr>
          <w:rFonts w:ascii="AvenirNext LT Pro Regular" w:hAnsi="AvenirNext LT Pro Regular"/>
          <w:sz w:val="20"/>
          <w:szCs w:val="20"/>
          <w:lang w:val="en-US"/>
        </w:rPr>
      </w:pPr>
    </w:p>
    <w:p w14:paraId="7FE77C0D" w14:textId="756F7594" w:rsidR="00623FE5" w:rsidRDefault="007C2857" w:rsidP="00BC3259">
      <w:pPr>
        <w:tabs>
          <w:tab w:val="center" w:pos="6946"/>
        </w:tabs>
        <w:rPr>
          <w:rFonts w:ascii="AvenirNext LT Pro Regular" w:hAnsi="AvenirNext LT Pro Regular"/>
          <w:sz w:val="20"/>
          <w:szCs w:val="20"/>
          <w:lang w:val="en-US"/>
        </w:rPr>
      </w:pPr>
      <w:r w:rsidRPr="007C2857">
        <w:rPr>
          <w:rFonts w:ascii="AvenirNext LT Pro Regular" w:hAnsi="AvenirNext LT Pro Regular"/>
          <w:sz w:val="20"/>
          <w:szCs w:val="20"/>
          <w:lang w:val="en-US"/>
        </w:rPr>
        <w:t xml:space="preserve">Roy </w:t>
      </w:r>
      <w:proofErr w:type="spellStart"/>
      <w:r w:rsidRPr="007C2857">
        <w:rPr>
          <w:rFonts w:ascii="AvenirNext LT Pro Regular" w:hAnsi="AvenirNext LT Pro Regular"/>
          <w:sz w:val="20"/>
          <w:szCs w:val="20"/>
          <w:lang w:val="en-US"/>
        </w:rPr>
        <w:t>Conners</w:t>
      </w:r>
      <w:proofErr w:type="spellEnd"/>
      <w:r w:rsidRPr="007C2857">
        <w:rPr>
          <w:rFonts w:ascii="AvenirNext LT Pro Regular" w:hAnsi="AvenirNext LT Pro Regular"/>
          <w:sz w:val="20"/>
          <w:szCs w:val="20"/>
          <w:lang w:val="en-US"/>
        </w:rPr>
        <w:t xml:space="preserve"> </w:t>
      </w:r>
      <w:r w:rsidR="00B60BC7">
        <w:rPr>
          <w:rFonts w:ascii="AvenirNext LT Pro Regular" w:hAnsi="AvenirNext LT Pro Regular"/>
          <w:sz w:val="20"/>
          <w:szCs w:val="20"/>
          <w:lang w:val="en-US"/>
        </w:rPr>
        <w:t>von</w:t>
      </w:r>
      <w:r w:rsidR="00F24614">
        <w:rPr>
          <w:rFonts w:ascii="AvenirNext LT Pro Regular" w:hAnsi="AvenirNext LT Pro Regular"/>
          <w:sz w:val="20"/>
          <w:szCs w:val="20"/>
          <w:lang w:val="en-US"/>
        </w:rPr>
        <w:t xml:space="preserve"> William &amp; Son</w:t>
      </w:r>
      <w:bookmarkStart w:id="0" w:name="_GoBack"/>
      <w:bookmarkEnd w:id="0"/>
      <w:r w:rsidR="00B60BC7">
        <w:rPr>
          <w:rFonts w:ascii="AvenirNext LT Pro Regular" w:hAnsi="AvenirNext LT Pro Regular"/>
          <w:sz w:val="20"/>
          <w:szCs w:val="20"/>
          <w:lang w:val="en-US"/>
        </w:rPr>
        <w:t>, London,</w:t>
      </w:r>
      <w:r w:rsidR="00BC3259">
        <w:rPr>
          <w:rFonts w:ascii="AvenirNext LT Pro Regular" w:hAnsi="AvenirNext LT Pro Regular"/>
          <w:sz w:val="20"/>
          <w:szCs w:val="20"/>
          <w:lang w:val="en-US"/>
        </w:rPr>
        <w:t xml:space="preserve"> </w:t>
      </w:r>
      <w:r w:rsidR="00BC3259">
        <w:rPr>
          <w:rFonts w:ascii="AvenirNext LT Pro Regular" w:hAnsi="AvenirNext LT Pro Regular"/>
          <w:sz w:val="20"/>
          <w:szCs w:val="20"/>
          <w:lang w:val="en-US"/>
        </w:rPr>
        <w:tab/>
      </w:r>
      <w:r>
        <w:rPr>
          <w:rFonts w:ascii="AvenirNext LT Pro Regular" w:hAnsi="AvenirNext LT Pro Regular"/>
          <w:sz w:val="20"/>
          <w:szCs w:val="20"/>
          <w:lang w:val="en-US"/>
        </w:rPr>
        <w:t>TEFNUT Twist Classic</w:t>
      </w:r>
    </w:p>
    <w:p w14:paraId="0E03221C" w14:textId="7008F1C2" w:rsidR="00BC3259" w:rsidRPr="007C2857" w:rsidRDefault="00BC3259" w:rsidP="00BC3259">
      <w:pPr>
        <w:tabs>
          <w:tab w:val="center" w:pos="6946"/>
        </w:tabs>
        <w:rPr>
          <w:rFonts w:ascii="AvenirNext LT Pro Regular" w:hAnsi="AvenirNext LT Pro Regular"/>
          <w:sz w:val="20"/>
          <w:szCs w:val="20"/>
          <w:lang w:val="en-US"/>
        </w:rPr>
      </w:pPr>
      <w:proofErr w:type="spellStart"/>
      <w:r>
        <w:rPr>
          <w:rFonts w:ascii="AvenirNext LT Pro Regular" w:hAnsi="AvenirNext LT Pro Regular"/>
          <w:sz w:val="20"/>
          <w:szCs w:val="20"/>
          <w:lang w:val="en-US"/>
        </w:rPr>
        <w:t>mit</w:t>
      </w:r>
      <w:proofErr w:type="spellEnd"/>
      <w:r>
        <w:rPr>
          <w:rFonts w:ascii="AvenirNext LT Pro Regular" w:hAnsi="AvenirNext LT Pro Regular"/>
          <w:sz w:val="20"/>
          <w:szCs w:val="20"/>
          <w:lang w:val="en-US"/>
        </w:rPr>
        <w:t xml:space="preserve"> der </w:t>
      </w:r>
      <w:proofErr w:type="spellStart"/>
      <w:r>
        <w:rPr>
          <w:rFonts w:ascii="AvenirNext LT Pro Regular" w:hAnsi="AvenirNext LT Pro Regular"/>
          <w:sz w:val="20"/>
          <w:szCs w:val="20"/>
          <w:lang w:val="en-US"/>
        </w:rPr>
        <w:t>Preisurkunde</w:t>
      </w:r>
      <w:proofErr w:type="spellEnd"/>
    </w:p>
    <w:sectPr w:rsidR="00BC3259" w:rsidRPr="007C2857" w:rsidSect="00BC3259">
      <w:headerReference w:type="default" r:id="rId14"/>
      <w:footerReference w:type="default" r:id="rId15"/>
      <w:headerReference w:type="first" r:id="rId16"/>
      <w:footerReference w:type="first" r:id="rId17"/>
      <w:pgSz w:w="11906" w:h="16838" w:code="9"/>
      <w:pgMar w:top="2693" w:right="1416" w:bottom="1560"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7F4E8C" w14:textId="3AD1F3B7" w:rsidR="006F1671" w:rsidRPr="007C2857" w:rsidRDefault="00E36402" w:rsidP="00B252FD">
                          <w:pPr>
                            <w:pStyle w:val="Standa1"/>
                            <w:tabs>
                              <w:tab w:val="center" w:pos="4536"/>
                              <w:tab w:val="right" w:pos="8931"/>
                            </w:tabs>
                            <w:rPr>
                              <w:rFonts w:ascii="Arial" w:hAnsi="Arial" w:cs="Arial"/>
                              <w:color w:val="595959"/>
                              <w:sz w:val="16"/>
                              <w:lang w:val="en-US"/>
                            </w:rPr>
                          </w:pPr>
                          <w:r w:rsidRPr="007C2857">
                            <w:rPr>
                              <w:rFonts w:ascii="Arial" w:hAnsi="Arial" w:cs="Arial"/>
                              <w:color w:val="595959"/>
                              <w:sz w:val="16"/>
                              <w:lang w:val="en-US"/>
                            </w:rPr>
                            <w:t xml:space="preserve">Grossmann Uhren GmbH – </w:t>
                          </w:r>
                          <w:r w:rsidR="007C2857" w:rsidRPr="007C2857">
                            <w:rPr>
                              <w:rFonts w:ascii="Arial" w:hAnsi="Arial" w:cs="Arial"/>
                              <w:color w:val="595959"/>
                              <w:sz w:val="16"/>
                              <w:lang w:val="en-US"/>
                            </w:rPr>
                            <w:t>Eve’s Watch Award 2017</w:t>
                          </w:r>
                          <w:r w:rsidR="006F1671" w:rsidRPr="007C2857">
                            <w:rPr>
                              <w:rFonts w:ascii="Arial" w:hAnsi="Arial" w:cs="Arial"/>
                              <w:color w:val="595959"/>
                              <w:sz w:val="16"/>
                              <w:lang w:val="en-US"/>
                            </w:rPr>
                            <w:tab/>
                          </w:r>
                          <w:r w:rsidR="007C2857" w:rsidRPr="007C2857">
                            <w:rPr>
                              <w:rFonts w:ascii="Arial" w:hAnsi="Arial" w:cs="Arial"/>
                              <w:color w:val="595959"/>
                              <w:sz w:val="16"/>
                              <w:lang w:val="en-US"/>
                            </w:rPr>
                            <w:t>11</w:t>
                          </w:r>
                          <w:r w:rsidR="00E45176" w:rsidRPr="007C2857">
                            <w:rPr>
                              <w:rFonts w:ascii="Arial" w:hAnsi="Arial" w:cs="Arial"/>
                              <w:color w:val="595959"/>
                              <w:sz w:val="16"/>
                              <w:lang w:val="en-US"/>
                            </w:rPr>
                            <w:t>/</w:t>
                          </w:r>
                          <w:r w:rsidR="00F677A4" w:rsidRPr="007C2857">
                            <w:rPr>
                              <w:rFonts w:ascii="Arial" w:hAnsi="Arial" w:cs="Arial"/>
                              <w:color w:val="595959"/>
                              <w:sz w:val="16"/>
                              <w:lang w:val="en-US"/>
                            </w:rPr>
                            <w:t>2017</w:t>
                          </w:r>
                          <w:r w:rsidR="006F1671" w:rsidRPr="007C2857">
                            <w:rPr>
                              <w:rFonts w:ascii="Arial" w:hAnsi="Arial" w:cs="Arial"/>
                              <w:color w:val="595959"/>
                              <w:sz w:val="16"/>
                              <w:lang w:val="en-US"/>
                            </w:rPr>
                            <w:tab/>
                          </w:r>
                          <w:r w:rsidR="00215433" w:rsidRPr="006F124B">
                            <w:rPr>
                              <w:color w:val="595959"/>
                            </w:rPr>
                            <w:fldChar w:fldCharType="begin"/>
                          </w:r>
                          <w:r w:rsidR="00215433" w:rsidRPr="007C2857">
                            <w:rPr>
                              <w:color w:val="595959"/>
                              <w:lang w:val="en-US"/>
                            </w:rPr>
                            <w:instrText xml:space="preserve"> PAGE  \* Arabic  \* MERGEFORMAT </w:instrText>
                          </w:r>
                          <w:r w:rsidR="00215433" w:rsidRPr="006F124B">
                            <w:rPr>
                              <w:color w:val="595959"/>
                            </w:rPr>
                            <w:fldChar w:fldCharType="separate"/>
                          </w:r>
                          <w:r w:rsidR="004828BF" w:rsidRPr="004828BF">
                            <w:rPr>
                              <w:rFonts w:ascii="Arial" w:hAnsi="Arial" w:cs="Arial"/>
                              <w:noProof/>
                              <w:color w:val="595959"/>
                              <w:sz w:val="16"/>
                              <w:lang w:val="en-US"/>
                            </w:rPr>
                            <w:t>2</w:t>
                          </w:r>
                          <w:r w:rsidR="00215433" w:rsidRPr="006F124B">
                            <w:rPr>
                              <w:rFonts w:ascii="Arial" w:hAnsi="Arial" w:cs="Arial"/>
                              <w:noProof/>
                              <w:color w:val="595959"/>
                              <w:sz w:val="16"/>
                            </w:rPr>
                            <w:fldChar w:fldCharType="end"/>
                          </w:r>
                          <w:r w:rsidR="006F1671" w:rsidRPr="007C2857">
                            <w:rPr>
                              <w:rFonts w:ascii="Arial" w:hAnsi="Arial" w:cs="Arial"/>
                              <w:color w:val="595959"/>
                              <w:sz w:val="16"/>
                              <w:lang w:val="en-US"/>
                            </w:rPr>
                            <w:t>/</w:t>
                          </w:r>
                          <w:r w:rsidR="00215433" w:rsidRPr="006F124B">
                            <w:rPr>
                              <w:color w:val="595959"/>
                            </w:rPr>
                            <w:fldChar w:fldCharType="begin"/>
                          </w:r>
                          <w:r w:rsidR="00215433" w:rsidRPr="007C2857">
                            <w:rPr>
                              <w:color w:val="595959"/>
                              <w:lang w:val="en-US"/>
                            </w:rPr>
                            <w:instrText xml:space="preserve"> NUMPAGES  \* Arabic  \* MERGEFORMAT </w:instrText>
                          </w:r>
                          <w:r w:rsidR="00215433" w:rsidRPr="006F124B">
                            <w:rPr>
                              <w:color w:val="595959"/>
                            </w:rPr>
                            <w:fldChar w:fldCharType="separate"/>
                          </w:r>
                          <w:r w:rsidR="004828BF" w:rsidRPr="004828BF">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3AD1F3B7" w:rsidR="006F1671" w:rsidRPr="007C2857" w:rsidRDefault="00E36402" w:rsidP="00B252FD">
                    <w:pPr>
                      <w:pStyle w:val="Standa1"/>
                      <w:tabs>
                        <w:tab w:val="center" w:pos="4536"/>
                        <w:tab w:val="right" w:pos="8931"/>
                      </w:tabs>
                      <w:rPr>
                        <w:rFonts w:ascii="Arial" w:hAnsi="Arial" w:cs="Arial"/>
                        <w:color w:val="595959"/>
                        <w:sz w:val="16"/>
                        <w:lang w:val="en-US"/>
                      </w:rPr>
                    </w:pPr>
                    <w:r w:rsidRPr="007C2857">
                      <w:rPr>
                        <w:rFonts w:ascii="Arial" w:hAnsi="Arial" w:cs="Arial"/>
                        <w:color w:val="595959"/>
                        <w:sz w:val="16"/>
                        <w:lang w:val="en-US"/>
                      </w:rPr>
                      <w:t xml:space="preserve">Grossmann Uhren GmbH – </w:t>
                    </w:r>
                    <w:r w:rsidR="007C2857" w:rsidRPr="007C2857">
                      <w:rPr>
                        <w:rFonts w:ascii="Arial" w:hAnsi="Arial" w:cs="Arial"/>
                        <w:color w:val="595959"/>
                        <w:sz w:val="16"/>
                        <w:lang w:val="en-US"/>
                      </w:rPr>
                      <w:t>Eve’s Watch Award 2017</w:t>
                    </w:r>
                    <w:r w:rsidR="006F1671" w:rsidRPr="007C2857">
                      <w:rPr>
                        <w:rFonts w:ascii="Arial" w:hAnsi="Arial" w:cs="Arial"/>
                        <w:color w:val="595959"/>
                        <w:sz w:val="16"/>
                        <w:lang w:val="en-US"/>
                      </w:rPr>
                      <w:tab/>
                    </w:r>
                    <w:r w:rsidR="007C2857" w:rsidRPr="007C2857">
                      <w:rPr>
                        <w:rFonts w:ascii="Arial" w:hAnsi="Arial" w:cs="Arial"/>
                        <w:color w:val="595959"/>
                        <w:sz w:val="16"/>
                        <w:lang w:val="en-US"/>
                      </w:rPr>
                      <w:t>11</w:t>
                    </w:r>
                    <w:r w:rsidR="00E45176" w:rsidRPr="007C2857">
                      <w:rPr>
                        <w:rFonts w:ascii="Arial" w:hAnsi="Arial" w:cs="Arial"/>
                        <w:color w:val="595959"/>
                        <w:sz w:val="16"/>
                        <w:lang w:val="en-US"/>
                      </w:rPr>
                      <w:t>/</w:t>
                    </w:r>
                    <w:r w:rsidR="00F677A4" w:rsidRPr="007C2857">
                      <w:rPr>
                        <w:rFonts w:ascii="Arial" w:hAnsi="Arial" w:cs="Arial"/>
                        <w:color w:val="595959"/>
                        <w:sz w:val="16"/>
                        <w:lang w:val="en-US"/>
                      </w:rPr>
                      <w:t>2017</w:t>
                    </w:r>
                    <w:r w:rsidR="006F1671" w:rsidRPr="007C2857">
                      <w:rPr>
                        <w:rFonts w:ascii="Arial" w:hAnsi="Arial" w:cs="Arial"/>
                        <w:color w:val="595959"/>
                        <w:sz w:val="16"/>
                        <w:lang w:val="en-US"/>
                      </w:rPr>
                      <w:tab/>
                    </w:r>
                    <w:r w:rsidR="00215433" w:rsidRPr="006F124B">
                      <w:rPr>
                        <w:color w:val="595959"/>
                      </w:rPr>
                      <w:fldChar w:fldCharType="begin"/>
                    </w:r>
                    <w:r w:rsidR="00215433" w:rsidRPr="007C2857">
                      <w:rPr>
                        <w:color w:val="595959"/>
                        <w:lang w:val="en-US"/>
                      </w:rPr>
                      <w:instrText xml:space="preserve"> PAGE  \* Arabic  \* MERGEFORMAT </w:instrText>
                    </w:r>
                    <w:r w:rsidR="00215433" w:rsidRPr="006F124B">
                      <w:rPr>
                        <w:color w:val="595959"/>
                      </w:rPr>
                      <w:fldChar w:fldCharType="separate"/>
                    </w:r>
                    <w:r w:rsidR="004828BF" w:rsidRPr="004828BF">
                      <w:rPr>
                        <w:rFonts w:ascii="Arial" w:hAnsi="Arial" w:cs="Arial"/>
                        <w:noProof/>
                        <w:color w:val="595959"/>
                        <w:sz w:val="16"/>
                        <w:lang w:val="en-US"/>
                      </w:rPr>
                      <w:t>2</w:t>
                    </w:r>
                    <w:r w:rsidR="00215433" w:rsidRPr="006F124B">
                      <w:rPr>
                        <w:rFonts w:ascii="Arial" w:hAnsi="Arial" w:cs="Arial"/>
                        <w:noProof/>
                        <w:color w:val="595959"/>
                        <w:sz w:val="16"/>
                      </w:rPr>
                      <w:fldChar w:fldCharType="end"/>
                    </w:r>
                    <w:r w:rsidR="006F1671" w:rsidRPr="007C2857">
                      <w:rPr>
                        <w:rFonts w:ascii="Arial" w:hAnsi="Arial" w:cs="Arial"/>
                        <w:color w:val="595959"/>
                        <w:sz w:val="16"/>
                        <w:lang w:val="en-US"/>
                      </w:rPr>
                      <w:t>/</w:t>
                    </w:r>
                    <w:r w:rsidR="00215433" w:rsidRPr="006F124B">
                      <w:rPr>
                        <w:color w:val="595959"/>
                      </w:rPr>
                      <w:fldChar w:fldCharType="begin"/>
                    </w:r>
                    <w:r w:rsidR="00215433" w:rsidRPr="007C2857">
                      <w:rPr>
                        <w:color w:val="595959"/>
                        <w:lang w:val="en-US"/>
                      </w:rPr>
                      <w:instrText xml:space="preserve"> NUMPAGES  \* Arabic  \* MERGEFORMAT </w:instrText>
                    </w:r>
                    <w:r w:rsidR="00215433" w:rsidRPr="006F124B">
                      <w:rPr>
                        <w:color w:val="595959"/>
                      </w:rPr>
                      <w:fldChar w:fldCharType="separate"/>
                    </w:r>
                    <w:r w:rsidR="004828BF" w:rsidRPr="004828BF">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1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16"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45EE"/>
    <w:rsid w:val="000B0424"/>
    <w:rsid w:val="000C5335"/>
    <w:rsid w:val="000D02B4"/>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2E2B"/>
    <w:rsid w:val="001754B9"/>
    <w:rsid w:val="00192AFE"/>
    <w:rsid w:val="00196EDF"/>
    <w:rsid w:val="001B432B"/>
    <w:rsid w:val="001B589B"/>
    <w:rsid w:val="001B6584"/>
    <w:rsid w:val="001B69BD"/>
    <w:rsid w:val="001D0316"/>
    <w:rsid w:val="001D0895"/>
    <w:rsid w:val="001F33E9"/>
    <w:rsid w:val="00207173"/>
    <w:rsid w:val="00213E27"/>
    <w:rsid w:val="00215433"/>
    <w:rsid w:val="00224DFD"/>
    <w:rsid w:val="00231305"/>
    <w:rsid w:val="00233949"/>
    <w:rsid w:val="002345BF"/>
    <w:rsid w:val="00236932"/>
    <w:rsid w:val="00242F49"/>
    <w:rsid w:val="0025287D"/>
    <w:rsid w:val="00264522"/>
    <w:rsid w:val="00270298"/>
    <w:rsid w:val="00272BE4"/>
    <w:rsid w:val="00273EC6"/>
    <w:rsid w:val="00284401"/>
    <w:rsid w:val="00286563"/>
    <w:rsid w:val="002A0B3D"/>
    <w:rsid w:val="002B27A4"/>
    <w:rsid w:val="002B4402"/>
    <w:rsid w:val="002B5A70"/>
    <w:rsid w:val="002C2E77"/>
    <w:rsid w:val="002C57B2"/>
    <w:rsid w:val="002D5FFD"/>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50037"/>
    <w:rsid w:val="003560CD"/>
    <w:rsid w:val="00365A04"/>
    <w:rsid w:val="00372D3D"/>
    <w:rsid w:val="00374FED"/>
    <w:rsid w:val="00377081"/>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828BF"/>
    <w:rsid w:val="0049362F"/>
    <w:rsid w:val="00493672"/>
    <w:rsid w:val="00496994"/>
    <w:rsid w:val="004A40C0"/>
    <w:rsid w:val="004A66C6"/>
    <w:rsid w:val="004A6FDB"/>
    <w:rsid w:val="004B6CD8"/>
    <w:rsid w:val="004C35DF"/>
    <w:rsid w:val="004D6262"/>
    <w:rsid w:val="004E2D80"/>
    <w:rsid w:val="004E3AE3"/>
    <w:rsid w:val="004E75DB"/>
    <w:rsid w:val="004E7EB7"/>
    <w:rsid w:val="00501793"/>
    <w:rsid w:val="00512F76"/>
    <w:rsid w:val="00514A4B"/>
    <w:rsid w:val="005516A9"/>
    <w:rsid w:val="0056293B"/>
    <w:rsid w:val="005715A0"/>
    <w:rsid w:val="0058433D"/>
    <w:rsid w:val="00596884"/>
    <w:rsid w:val="005B32B9"/>
    <w:rsid w:val="005C05D6"/>
    <w:rsid w:val="005C1770"/>
    <w:rsid w:val="005C7B69"/>
    <w:rsid w:val="005D0541"/>
    <w:rsid w:val="005D12C2"/>
    <w:rsid w:val="005D1646"/>
    <w:rsid w:val="005D35B3"/>
    <w:rsid w:val="005D6F76"/>
    <w:rsid w:val="005E4B47"/>
    <w:rsid w:val="005E5C9A"/>
    <w:rsid w:val="00601BDD"/>
    <w:rsid w:val="00605BCA"/>
    <w:rsid w:val="00611B9B"/>
    <w:rsid w:val="00614010"/>
    <w:rsid w:val="00620B15"/>
    <w:rsid w:val="00623FE5"/>
    <w:rsid w:val="00632D10"/>
    <w:rsid w:val="00642AC9"/>
    <w:rsid w:val="00653CF4"/>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2857"/>
    <w:rsid w:val="007C45F9"/>
    <w:rsid w:val="007C4EAA"/>
    <w:rsid w:val="007D3605"/>
    <w:rsid w:val="007D68F2"/>
    <w:rsid w:val="007E1363"/>
    <w:rsid w:val="00803BCF"/>
    <w:rsid w:val="00811033"/>
    <w:rsid w:val="008248FE"/>
    <w:rsid w:val="00831718"/>
    <w:rsid w:val="00840FE9"/>
    <w:rsid w:val="00841C50"/>
    <w:rsid w:val="0086243A"/>
    <w:rsid w:val="00862DCC"/>
    <w:rsid w:val="00880069"/>
    <w:rsid w:val="008923A6"/>
    <w:rsid w:val="008B6504"/>
    <w:rsid w:val="008C3AAF"/>
    <w:rsid w:val="008C7A06"/>
    <w:rsid w:val="008D0DBE"/>
    <w:rsid w:val="008E4557"/>
    <w:rsid w:val="008E513C"/>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839BB"/>
    <w:rsid w:val="00985A82"/>
    <w:rsid w:val="009A576D"/>
    <w:rsid w:val="009A72A1"/>
    <w:rsid w:val="009B4947"/>
    <w:rsid w:val="009C465A"/>
    <w:rsid w:val="009C4FA3"/>
    <w:rsid w:val="009C677B"/>
    <w:rsid w:val="009C6BFD"/>
    <w:rsid w:val="009D3BBE"/>
    <w:rsid w:val="009D3CFB"/>
    <w:rsid w:val="009D449C"/>
    <w:rsid w:val="009E4331"/>
    <w:rsid w:val="009E79D3"/>
    <w:rsid w:val="009F5C9D"/>
    <w:rsid w:val="00A015B0"/>
    <w:rsid w:val="00A03865"/>
    <w:rsid w:val="00A22749"/>
    <w:rsid w:val="00A261A3"/>
    <w:rsid w:val="00A26E48"/>
    <w:rsid w:val="00A326EC"/>
    <w:rsid w:val="00A4667A"/>
    <w:rsid w:val="00A70846"/>
    <w:rsid w:val="00A923EE"/>
    <w:rsid w:val="00AB4B2D"/>
    <w:rsid w:val="00AC409C"/>
    <w:rsid w:val="00AC412B"/>
    <w:rsid w:val="00AD0784"/>
    <w:rsid w:val="00AD274F"/>
    <w:rsid w:val="00AF4E57"/>
    <w:rsid w:val="00B063BD"/>
    <w:rsid w:val="00B12E51"/>
    <w:rsid w:val="00B171ED"/>
    <w:rsid w:val="00B252FD"/>
    <w:rsid w:val="00B304B7"/>
    <w:rsid w:val="00B3640F"/>
    <w:rsid w:val="00B563D4"/>
    <w:rsid w:val="00B60BC7"/>
    <w:rsid w:val="00B61149"/>
    <w:rsid w:val="00B63A04"/>
    <w:rsid w:val="00B63B6A"/>
    <w:rsid w:val="00B64144"/>
    <w:rsid w:val="00B70407"/>
    <w:rsid w:val="00B823C5"/>
    <w:rsid w:val="00B824D4"/>
    <w:rsid w:val="00B92DB7"/>
    <w:rsid w:val="00B95E5D"/>
    <w:rsid w:val="00BA0321"/>
    <w:rsid w:val="00BB5923"/>
    <w:rsid w:val="00BC0D02"/>
    <w:rsid w:val="00BC3259"/>
    <w:rsid w:val="00BC719A"/>
    <w:rsid w:val="00BE29F8"/>
    <w:rsid w:val="00BE70D1"/>
    <w:rsid w:val="00C07C29"/>
    <w:rsid w:val="00C12014"/>
    <w:rsid w:val="00C12596"/>
    <w:rsid w:val="00C21245"/>
    <w:rsid w:val="00C3044F"/>
    <w:rsid w:val="00C31849"/>
    <w:rsid w:val="00C35F4E"/>
    <w:rsid w:val="00C40087"/>
    <w:rsid w:val="00C41F97"/>
    <w:rsid w:val="00C46764"/>
    <w:rsid w:val="00C61CC1"/>
    <w:rsid w:val="00C647CF"/>
    <w:rsid w:val="00C674AE"/>
    <w:rsid w:val="00C67AFA"/>
    <w:rsid w:val="00C7215C"/>
    <w:rsid w:val="00C74F2C"/>
    <w:rsid w:val="00C81F62"/>
    <w:rsid w:val="00C8402F"/>
    <w:rsid w:val="00CB3FA7"/>
    <w:rsid w:val="00CD15EA"/>
    <w:rsid w:val="00CD653C"/>
    <w:rsid w:val="00D03A70"/>
    <w:rsid w:val="00D045E3"/>
    <w:rsid w:val="00D2080A"/>
    <w:rsid w:val="00D23FB2"/>
    <w:rsid w:val="00D31CBA"/>
    <w:rsid w:val="00D34708"/>
    <w:rsid w:val="00D36EF2"/>
    <w:rsid w:val="00D44DDA"/>
    <w:rsid w:val="00D46F9E"/>
    <w:rsid w:val="00D5589F"/>
    <w:rsid w:val="00D723C6"/>
    <w:rsid w:val="00D72F70"/>
    <w:rsid w:val="00D87C68"/>
    <w:rsid w:val="00D93042"/>
    <w:rsid w:val="00DA27B0"/>
    <w:rsid w:val="00DC0EFC"/>
    <w:rsid w:val="00DC2CA6"/>
    <w:rsid w:val="00DD3284"/>
    <w:rsid w:val="00DE47EA"/>
    <w:rsid w:val="00DE51C0"/>
    <w:rsid w:val="00DE60F4"/>
    <w:rsid w:val="00DF06B1"/>
    <w:rsid w:val="00DF38DC"/>
    <w:rsid w:val="00DF3969"/>
    <w:rsid w:val="00DF6458"/>
    <w:rsid w:val="00E00D9D"/>
    <w:rsid w:val="00E1281D"/>
    <w:rsid w:val="00E1285B"/>
    <w:rsid w:val="00E24F14"/>
    <w:rsid w:val="00E32CA7"/>
    <w:rsid w:val="00E36402"/>
    <w:rsid w:val="00E45176"/>
    <w:rsid w:val="00E61260"/>
    <w:rsid w:val="00E628FB"/>
    <w:rsid w:val="00E659DD"/>
    <w:rsid w:val="00E66027"/>
    <w:rsid w:val="00E74859"/>
    <w:rsid w:val="00E853F6"/>
    <w:rsid w:val="00EA1A4C"/>
    <w:rsid w:val="00EA2333"/>
    <w:rsid w:val="00EB473F"/>
    <w:rsid w:val="00EE0877"/>
    <w:rsid w:val="00EE088E"/>
    <w:rsid w:val="00EE0B00"/>
    <w:rsid w:val="00EE2488"/>
    <w:rsid w:val="00EE3FF1"/>
    <w:rsid w:val="00EE44AE"/>
    <w:rsid w:val="00EF75C2"/>
    <w:rsid w:val="00F073F3"/>
    <w:rsid w:val="00F10762"/>
    <w:rsid w:val="00F24614"/>
    <w:rsid w:val="00F31B4D"/>
    <w:rsid w:val="00F3328B"/>
    <w:rsid w:val="00F358BE"/>
    <w:rsid w:val="00F57303"/>
    <w:rsid w:val="00F57AE1"/>
    <w:rsid w:val="00F677A4"/>
    <w:rsid w:val="00F717AC"/>
    <w:rsid w:val="00F7720A"/>
    <w:rsid w:val="00F80380"/>
    <w:rsid w:val="00F80493"/>
    <w:rsid w:val="00FA048F"/>
    <w:rsid w:val="00FB3F95"/>
    <w:rsid w:val="00FB4539"/>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eveswatch.com/the-winners-2017/"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rossmann-uhren.com/collection/tefnut-twist/?lang=de" TargetMode="Externa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ainer.kern@grossmann-uhren.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rossmann-uhren.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4035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7</cp:revision>
  <cp:lastPrinted>2017-11-08T13:16:00Z</cp:lastPrinted>
  <dcterms:created xsi:type="dcterms:W3CDTF">2017-11-08T11:24:00Z</dcterms:created>
  <dcterms:modified xsi:type="dcterms:W3CDTF">2017-11-08T13:16:00Z</dcterms:modified>
</cp:coreProperties>
</file>